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914E727"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D371FB">
        <w:rPr>
          <w:rFonts w:eastAsia="SimSun"/>
          <w:lang w:eastAsia="zh-CN"/>
        </w:rPr>
        <w:t>bis-e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003B40E9" w:rsidRPr="003B40E9">
        <w:t>R4-200</w:t>
      </w:r>
      <w:r w:rsidR="002E3A4E">
        <w:t>5000</w:t>
      </w:r>
    </w:p>
    <w:p w14:paraId="35BF833C" w14:textId="472EC821"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Pr>
          <w:rFonts w:cs="Arial"/>
        </w:rPr>
        <w:t>0</w:t>
      </w:r>
      <w:r w:rsidR="00DF018A" w:rsidRPr="00084769">
        <w:rPr>
          <w:rFonts w:cs="Arial"/>
        </w:rPr>
        <w:t xml:space="preserve"> – </w:t>
      </w:r>
      <w:r>
        <w:rPr>
          <w:rFonts w:cs="Arial"/>
        </w:rPr>
        <w:t>30</w:t>
      </w:r>
      <w:r w:rsidR="00DF018A">
        <w:rPr>
          <w:rFonts w:cs="Arial"/>
        </w:rPr>
        <w:t xml:space="preserve"> </w:t>
      </w:r>
      <w:r>
        <w:rPr>
          <w:rFonts w:cs="Arial"/>
        </w:rPr>
        <w:t>April</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58CE2F3"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30F7E">
        <w:rPr>
          <w:sz w:val="22"/>
        </w:rPr>
        <w:t>Required updates to UE requirements due to WRC-19 decisions</w:t>
      </w:r>
    </w:p>
    <w:p w14:paraId="38BCE621" w14:textId="3C92C572"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30A04" w:rsidRPr="00A30A04">
        <w:rPr>
          <w:sz w:val="22"/>
          <w:lang w:val="en-US"/>
        </w:rPr>
        <w:t>4.4.3.1</w:t>
      </w:r>
      <w:bookmarkStart w:id="2" w:name="_GoBack"/>
      <w:bookmarkEnd w:id="2"/>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010AAE7D" w14:textId="3446BC77" w:rsidR="00A30F7E" w:rsidRDefault="00A30F7E" w:rsidP="000B5E8E">
      <w:r>
        <w:rPr>
          <w:rFonts w:eastAsia="Batang"/>
          <w:lang w:eastAsia="ko-KR"/>
        </w:rPr>
        <w:t>World Radio Conference (WRC) took place in November 2019, and agreed on updates on emission requirements required for mobile stations to provide protection towards Earth Exploration Satellite Systems (EESS) operating in 23.6 – 24 GHz frequencies. In this contribution we discuss the required updates to UE requirements to align with WRC-19 outcome.</w:t>
      </w:r>
    </w:p>
    <w:p w14:paraId="1ECA57B6" w14:textId="77777777" w:rsidR="001C3296" w:rsidRDefault="001C3296" w:rsidP="001C3296">
      <w:pPr>
        <w:pStyle w:val="Heading1"/>
      </w:pPr>
      <w:r>
        <w:t>2</w:t>
      </w:r>
      <w:r>
        <w:tab/>
        <w:t>Discussion</w:t>
      </w:r>
    </w:p>
    <w:p w14:paraId="4AF63576" w14:textId="5F4FD2B7" w:rsidR="00A30F7E" w:rsidRDefault="00A30F7E" w:rsidP="00A30F7E">
      <w:r>
        <w:t>The outcome of the WRC-19 can be found in [1], from where the section</w:t>
      </w:r>
      <w:r w:rsidR="00EB7C29">
        <w:t>s of interest have been compiled to Table 1.</w:t>
      </w:r>
      <w:r>
        <w:t xml:space="preserve"> </w:t>
      </w:r>
    </w:p>
    <w:p w14:paraId="4F8CB4CC" w14:textId="380C3D2D" w:rsidR="00A30F7E" w:rsidRPr="00A30F7E" w:rsidRDefault="00A30F7E" w:rsidP="00EB7C29">
      <w:pPr>
        <w:pStyle w:val="Caption"/>
        <w:keepNext/>
        <w:spacing w:after="120"/>
        <w:jc w:val="center"/>
        <w:rPr>
          <w:b/>
          <w:bCs/>
          <w:i w:val="0"/>
          <w:iCs w:val="0"/>
          <w:color w:val="auto"/>
        </w:rPr>
      </w:pPr>
      <w:bookmarkStart w:id="3" w:name="_Ref32577005"/>
      <w:r w:rsidRPr="00A30F7E">
        <w:rPr>
          <w:b/>
          <w:bCs/>
          <w:i w:val="0"/>
          <w:iCs w:val="0"/>
          <w:color w:val="auto"/>
        </w:rPr>
        <w:t xml:space="preserve">Table </w:t>
      </w:r>
      <w:r w:rsidRPr="00A30F7E">
        <w:rPr>
          <w:b/>
          <w:bCs/>
          <w:i w:val="0"/>
          <w:iCs w:val="0"/>
          <w:color w:val="auto"/>
        </w:rPr>
        <w:fldChar w:fldCharType="begin"/>
      </w:r>
      <w:r w:rsidRPr="00A30F7E">
        <w:rPr>
          <w:b/>
          <w:bCs/>
          <w:i w:val="0"/>
          <w:iCs w:val="0"/>
          <w:color w:val="auto"/>
        </w:rPr>
        <w:instrText xml:space="preserve"> SEQ Table \* ARABIC </w:instrText>
      </w:r>
      <w:r w:rsidRPr="00A30F7E">
        <w:rPr>
          <w:b/>
          <w:bCs/>
          <w:i w:val="0"/>
          <w:iCs w:val="0"/>
          <w:color w:val="auto"/>
        </w:rPr>
        <w:fldChar w:fldCharType="separate"/>
      </w:r>
      <w:r w:rsidRPr="00A30F7E">
        <w:rPr>
          <w:b/>
          <w:bCs/>
          <w:i w:val="0"/>
          <w:iCs w:val="0"/>
          <w:noProof/>
          <w:color w:val="auto"/>
        </w:rPr>
        <w:t>1</w:t>
      </w:r>
      <w:r w:rsidRPr="00A30F7E">
        <w:rPr>
          <w:b/>
          <w:bCs/>
          <w:i w:val="0"/>
          <w:iCs w:val="0"/>
          <w:color w:val="auto"/>
        </w:rPr>
        <w:fldChar w:fldCharType="end"/>
      </w:r>
      <w:bookmarkEnd w:id="3"/>
      <w:r w:rsidRPr="00A30F7E">
        <w:rPr>
          <w:b/>
          <w:bCs/>
          <w:i w:val="0"/>
          <w:iCs w:val="0"/>
          <w:color w:val="auto"/>
        </w:rPr>
        <w:t>:</w:t>
      </w:r>
      <w:r>
        <w:rPr>
          <w:b/>
          <w:bCs/>
          <w:i w:val="0"/>
          <w:iCs w:val="0"/>
          <w:color w:val="auto"/>
        </w:rPr>
        <w:t xml:space="preserve"> </w:t>
      </w:r>
      <w:r w:rsidR="00EB7C29">
        <w:rPr>
          <w:b/>
          <w:bCs/>
          <w:i w:val="0"/>
          <w:iCs w:val="0"/>
          <w:color w:val="auto"/>
        </w:rPr>
        <w:t>Resolution 750 contents relevant to EESS protection within 23.6 – 24 GHz.</w:t>
      </w:r>
    </w:p>
    <w:tbl>
      <w:tblPr>
        <w:tblStyle w:val="TableGrid"/>
        <w:tblW w:w="0" w:type="auto"/>
        <w:tblLook w:val="04A0" w:firstRow="1" w:lastRow="0" w:firstColumn="1" w:lastColumn="0" w:noHBand="0" w:noVBand="1"/>
      </w:tblPr>
      <w:tblGrid>
        <w:gridCol w:w="1515"/>
        <w:gridCol w:w="1823"/>
        <w:gridCol w:w="1544"/>
        <w:gridCol w:w="4747"/>
      </w:tblGrid>
      <w:tr w:rsidR="00A30F7E" w:rsidRPr="00A30F7E" w14:paraId="779D09F0" w14:textId="77777777" w:rsidTr="00A30F7E">
        <w:tc>
          <w:tcPr>
            <w:tcW w:w="1526" w:type="dxa"/>
            <w:tcBorders>
              <w:top w:val="single" w:sz="4" w:space="0" w:color="auto"/>
              <w:left w:val="single" w:sz="4" w:space="0" w:color="auto"/>
              <w:bottom w:val="single" w:sz="4" w:space="0" w:color="auto"/>
              <w:right w:val="single" w:sz="4" w:space="0" w:color="auto"/>
            </w:tcBorders>
            <w:vAlign w:val="center"/>
            <w:hideMark/>
          </w:tcPr>
          <w:p w14:paraId="6400D1BF" w14:textId="77777777" w:rsidR="00A30F7E" w:rsidRDefault="00A30F7E">
            <w:pPr>
              <w:pStyle w:val="BodyText"/>
              <w:jc w:val="center"/>
              <w:rPr>
                <w:b/>
                <w:bCs/>
                <w:lang w:val="en-US"/>
              </w:rPr>
            </w:pPr>
            <w:r>
              <w:rPr>
                <w:b/>
                <w:bCs/>
                <w:lang w:val="en-US"/>
              </w:rPr>
              <w:t>EESS (passive)</w:t>
            </w:r>
            <w:r>
              <w:rPr>
                <w:b/>
                <w:bCs/>
                <w:lang w:val="en-US"/>
              </w:rPr>
              <w:br/>
              <w:t>band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B6BD9" w14:textId="77777777" w:rsidR="00A30F7E" w:rsidRDefault="00A30F7E">
            <w:pPr>
              <w:pStyle w:val="BodyText"/>
              <w:jc w:val="center"/>
              <w:rPr>
                <w:b/>
                <w:bCs/>
                <w:lang w:val="en-US"/>
              </w:rPr>
            </w:pPr>
            <w:r>
              <w:rPr>
                <w:b/>
                <w:bCs/>
                <w:lang w:val="en-US"/>
              </w:rPr>
              <w:t>Active</w:t>
            </w:r>
            <w:r>
              <w:rPr>
                <w:b/>
                <w:bCs/>
                <w:lang w:val="en-US"/>
              </w:rPr>
              <w:br/>
              <w:t>service band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E5270B" w14:textId="77777777" w:rsidR="00A30F7E" w:rsidRDefault="00A30F7E">
            <w:pPr>
              <w:pStyle w:val="BodyText"/>
              <w:jc w:val="center"/>
              <w:rPr>
                <w:b/>
                <w:bCs/>
                <w:lang w:val="en-US"/>
              </w:rPr>
            </w:pPr>
            <w:r>
              <w:rPr>
                <w:b/>
                <w:bCs/>
                <w:lang w:val="en-US"/>
              </w:rPr>
              <w:t>Active service</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517A837" w14:textId="77777777" w:rsidR="00A30F7E" w:rsidRDefault="00A30F7E">
            <w:pPr>
              <w:pStyle w:val="BodyText"/>
              <w:jc w:val="center"/>
              <w:rPr>
                <w:b/>
                <w:bCs/>
                <w:lang w:val="en-US"/>
              </w:rPr>
            </w:pPr>
            <w:r>
              <w:rPr>
                <w:b/>
                <w:bCs/>
                <w:lang w:val="en-US"/>
              </w:rPr>
              <w:t>Limits of unwanted emission power from active service stations in a specified bandwidth within the EESS (passive) band</w:t>
            </w:r>
          </w:p>
        </w:tc>
      </w:tr>
      <w:tr w:rsidR="00A30F7E" w:rsidRPr="00A30F7E" w14:paraId="0DB64565" w14:textId="77777777" w:rsidTr="00A30F7E">
        <w:tc>
          <w:tcPr>
            <w:tcW w:w="1526" w:type="dxa"/>
            <w:tcBorders>
              <w:top w:val="single" w:sz="4" w:space="0" w:color="auto"/>
              <w:left w:val="single" w:sz="4" w:space="0" w:color="auto"/>
              <w:bottom w:val="single" w:sz="4" w:space="0" w:color="auto"/>
              <w:right w:val="single" w:sz="4" w:space="0" w:color="auto"/>
            </w:tcBorders>
            <w:vAlign w:val="center"/>
            <w:hideMark/>
          </w:tcPr>
          <w:p w14:paraId="5E9332B9" w14:textId="77777777" w:rsidR="00A30F7E" w:rsidRDefault="00A30F7E">
            <w:pPr>
              <w:pStyle w:val="BodyText"/>
              <w:jc w:val="center"/>
              <w:rPr>
                <w:lang w:val="en-US"/>
              </w:rPr>
            </w:pPr>
            <w:r>
              <w:rPr>
                <w:lang w:val="en-US"/>
              </w:rPr>
              <w:t>23.6-24.0 GHz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DCAD5" w14:textId="77777777" w:rsidR="00A30F7E" w:rsidRDefault="00A30F7E">
            <w:pPr>
              <w:pStyle w:val="BodyText"/>
              <w:jc w:val="center"/>
              <w:rPr>
                <w:lang w:val="en-US"/>
              </w:rPr>
            </w:pPr>
            <w:r>
              <w:rPr>
                <w:lang w:val="en-US"/>
              </w:rPr>
              <w:t>24.25-27.5 GHz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2B2F3C" w14:textId="77777777" w:rsidR="00A30F7E" w:rsidRDefault="00A30F7E">
            <w:pPr>
              <w:pStyle w:val="BodyText"/>
              <w:jc w:val="center"/>
              <w:rPr>
                <w:lang w:val="en-US"/>
              </w:rPr>
            </w:pPr>
            <w:r>
              <w:rPr>
                <w:lang w:val="en-US"/>
              </w:rPr>
              <w:t>Mobile</w:t>
            </w:r>
          </w:p>
        </w:tc>
        <w:tc>
          <w:tcPr>
            <w:tcW w:w="4819" w:type="dxa"/>
            <w:tcBorders>
              <w:top w:val="single" w:sz="4" w:space="0" w:color="auto"/>
              <w:left w:val="single" w:sz="4" w:space="0" w:color="auto"/>
              <w:bottom w:val="single" w:sz="4" w:space="0" w:color="auto"/>
              <w:right w:val="single" w:sz="4" w:space="0" w:color="auto"/>
            </w:tcBorders>
            <w:hideMark/>
          </w:tcPr>
          <w:p w14:paraId="5FBFF32D" w14:textId="77777777" w:rsidR="00A30F7E" w:rsidRDefault="00A30F7E">
            <w:pPr>
              <w:pStyle w:val="BodyText"/>
              <w:rPr>
                <w:lang w:val="en-US"/>
              </w:rPr>
            </w:pPr>
            <w:r>
              <w:rPr>
                <w:lang w:val="en-US"/>
              </w:rPr>
              <w:t>−33 dBW</w:t>
            </w:r>
            <w:r>
              <w:rPr>
                <w:vertAlign w:val="superscript"/>
                <w:lang w:val="en-US"/>
              </w:rPr>
              <w:t>a</w:t>
            </w:r>
            <w:r>
              <w:rPr>
                <w:lang w:val="en-US"/>
              </w:rPr>
              <w:t xml:space="preserve"> in any 200 MHz of the EESS (passive) band for IMT base stations</w:t>
            </w:r>
            <w:r>
              <w:rPr>
                <w:vertAlign w:val="superscript"/>
                <w:lang w:val="en-US"/>
              </w:rPr>
              <w:t>5</w:t>
            </w:r>
          </w:p>
          <w:p w14:paraId="61E0F224" w14:textId="77777777" w:rsidR="00A30F7E" w:rsidRDefault="00A30F7E">
            <w:pPr>
              <w:pStyle w:val="BodyText"/>
              <w:rPr>
                <w:lang w:val="en-US"/>
              </w:rPr>
            </w:pPr>
            <w:r>
              <w:rPr>
                <w:lang w:val="en-US"/>
              </w:rPr>
              <w:t>−29 dBW</w:t>
            </w:r>
            <w:r>
              <w:rPr>
                <w:vertAlign w:val="superscript"/>
                <w:lang w:val="en-US"/>
              </w:rPr>
              <w:t>b</w:t>
            </w:r>
            <w:r>
              <w:rPr>
                <w:lang w:val="en-US"/>
              </w:rPr>
              <w:t xml:space="preserve"> in any 200 MHz of the EESS (passive) band for IMT mobile stations</w:t>
            </w:r>
            <w:r>
              <w:rPr>
                <w:vertAlign w:val="superscript"/>
                <w:lang w:val="en-US"/>
              </w:rPr>
              <w:t>5</w:t>
            </w:r>
          </w:p>
        </w:tc>
      </w:tr>
      <w:tr w:rsidR="00A30F7E" w:rsidRPr="00A30F7E" w14:paraId="4791BB03" w14:textId="77777777" w:rsidTr="00A30F7E">
        <w:tc>
          <w:tcPr>
            <w:tcW w:w="9747" w:type="dxa"/>
            <w:gridSpan w:val="4"/>
            <w:tcBorders>
              <w:top w:val="single" w:sz="4" w:space="0" w:color="auto"/>
              <w:left w:val="single" w:sz="4" w:space="0" w:color="auto"/>
              <w:bottom w:val="single" w:sz="4" w:space="0" w:color="auto"/>
              <w:right w:val="single" w:sz="4" w:space="0" w:color="auto"/>
            </w:tcBorders>
            <w:vAlign w:val="center"/>
            <w:hideMark/>
          </w:tcPr>
          <w:p w14:paraId="64EA5AD6" w14:textId="77777777" w:rsidR="00A30F7E" w:rsidRDefault="00A30F7E">
            <w:pPr>
              <w:pStyle w:val="BodyText"/>
              <w:ind w:left="142" w:hanging="142"/>
              <w:rPr>
                <w:lang w:val="en-US"/>
              </w:rPr>
            </w:pPr>
            <w:r>
              <w:rPr>
                <w:vertAlign w:val="superscript"/>
                <w:lang w:val="en-US"/>
              </w:rPr>
              <w:t>5</w:t>
            </w:r>
            <w:r>
              <w:rPr>
                <w:lang w:val="en-US"/>
              </w:rPr>
              <w:t xml:space="preserve"> </w:t>
            </w:r>
            <w:r>
              <w:rPr>
                <w:lang w:val="en-US"/>
              </w:rPr>
              <w:tab/>
              <w:t>The unwanted emission power level is considered in terms of TRP. The TRP is to be understood here as the integral of the power transmitted from all antenna elements in different directions over the entire radiation sphere.</w:t>
            </w:r>
          </w:p>
          <w:p w14:paraId="0DABAD3F" w14:textId="77777777" w:rsidR="00A30F7E" w:rsidRDefault="00A30F7E">
            <w:pPr>
              <w:pStyle w:val="BodyText"/>
              <w:ind w:left="142" w:hanging="142"/>
              <w:rPr>
                <w:lang w:val="en-US"/>
              </w:rPr>
            </w:pPr>
            <w:r>
              <w:rPr>
                <w:vertAlign w:val="superscript"/>
                <w:lang w:val="en-US"/>
              </w:rPr>
              <w:t>a</w:t>
            </w:r>
            <w:r>
              <w:rPr>
                <w:lang w:val="en-US"/>
              </w:rPr>
              <w:t xml:space="preserve"> </w:t>
            </w:r>
            <w:r>
              <w:rPr>
                <w:lang w:val="en-US"/>
              </w:rPr>
              <w:tab/>
              <w:t>A limit of −39 dB(W/200 MHz) will apply to IMT base stations brought into use after 1 September 2027. This limit will not apply to IMT base stations which have been brought into use prior to this date. For those IMT base stations, the limit of −33 dB(W/200 MHz) will continue to apply after this date.</w:t>
            </w:r>
          </w:p>
          <w:p w14:paraId="0E21F3C6" w14:textId="77777777" w:rsidR="00A30F7E" w:rsidRDefault="00A30F7E">
            <w:pPr>
              <w:pStyle w:val="BodyText"/>
              <w:ind w:left="142" w:hanging="142"/>
              <w:rPr>
                <w:lang w:val="en-US"/>
              </w:rPr>
            </w:pPr>
            <w:r>
              <w:rPr>
                <w:vertAlign w:val="superscript"/>
                <w:lang w:val="en-US"/>
              </w:rPr>
              <w:t>b</w:t>
            </w:r>
            <w:r>
              <w:rPr>
                <w:vertAlign w:val="superscript"/>
                <w:lang w:val="en-US"/>
              </w:rPr>
              <w:tab/>
            </w:r>
            <w:r>
              <w:rPr>
                <w:lang w:val="en-US"/>
              </w:rPr>
              <w:t xml:space="preserve">A limit of −35 dB(W/200 MHz) will apply to IMT mobile stations brought into use after 1 September 2027. This limit will not apply to IMT mobile stations which have been brought into use prior to this date. For those IMT mobile stations, the limit of −29 dB(W/200 MHz) will continue to apply after this date. </w:t>
            </w:r>
          </w:p>
        </w:tc>
      </w:tr>
    </w:tbl>
    <w:p w14:paraId="2B837809" w14:textId="1453A29B" w:rsidR="00A30F7E" w:rsidRDefault="00A30F7E" w:rsidP="00A30F7E"/>
    <w:p w14:paraId="6791CBE7" w14:textId="16AFAEBD" w:rsidR="00EB7C29" w:rsidRDefault="00EB7C29" w:rsidP="00A30F7E">
      <w:r>
        <w:t>Correspondingly, the current requirements from TS 38.101-2 addressing protection of 23.6 – 24 GHz have been copied below</w:t>
      </w:r>
    </w:p>
    <w:p w14:paraId="7E07D0C1" w14:textId="0CC257BF" w:rsidR="00EB7C29" w:rsidRDefault="00EB7C29" w:rsidP="00EB7C29">
      <w:pPr>
        <w:pStyle w:val="Heading5"/>
        <w:ind w:left="284" w:firstLine="0"/>
        <w:rPr>
          <w:rFonts w:eastAsiaTheme="minorEastAsia"/>
          <w:lang w:val="en-US" w:eastAsia="it-IT"/>
        </w:rPr>
      </w:pPr>
      <w:bookmarkStart w:id="4" w:name="_Toc29805357"/>
      <w:bookmarkStart w:id="5" w:name="_Toc21340910"/>
      <w:r>
        <w:rPr>
          <w:rFonts w:eastAsiaTheme="minorEastAsia"/>
          <w:lang w:val="en-US" w:eastAsia="it-IT"/>
        </w:rPr>
        <w:t>6.5.3.2.2</w:t>
      </w:r>
      <w:r>
        <w:rPr>
          <w:rFonts w:eastAsiaTheme="minorEastAsia"/>
          <w:lang w:val="en-US" w:eastAsia="it-IT"/>
        </w:rPr>
        <w:tab/>
        <w:t>Additional spurious emission requirements for NS_201</w:t>
      </w:r>
      <w:bookmarkEnd w:id="4"/>
      <w:bookmarkEnd w:id="5"/>
    </w:p>
    <w:p w14:paraId="0CE07A85" w14:textId="77777777" w:rsidR="00EB7C29" w:rsidRDefault="00EB7C29" w:rsidP="00EB7C29">
      <w:pPr>
        <w:ind w:left="568"/>
        <w:rPr>
          <w:rFonts w:eastAsiaTheme="minorEastAsia"/>
        </w:rPr>
      </w:pPr>
      <w:r>
        <w:t>When "NS_201" is indicated in the cell, the power of any UE emission shall not exceed the levels specified in Table 6.5.3.2.2-1. This requirement also applies for the frequency ranges that are less than F</w:t>
      </w:r>
      <w:r>
        <w:rPr>
          <w:vertAlign w:val="subscript"/>
        </w:rPr>
        <w:t>OOB</w:t>
      </w:r>
      <w:r>
        <w:t xml:space="preserve"> (MHz) in Table 6.5.3-1 from the edge of the channel bandwidth.</w:t>
      </w:r>
    </w:p>
    <w:p w14:paraId="1AC90447" w14:textId="77777777" w:rsidR="00EB7C29" w:rsidRDefault="00EB7C29" w:rsidP="00EB7C29">
      <w:pPr>
        <w:pStyle w:val="TH"/>
        <w:ind w:left="284"/>
      </w:pPr>
      <w:r>
        <w:t>Table 6.5.3.2.2-1: Additional requirements (NS_201)</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1133"/>
        <w:gridCol w:w="1132"/>
        <w:gridCol w:w="1132"/>
        <w:gridCol w:w="1132"/>
        <w:gridCol w:w="2267"/>
        <w:gridCol w:w="717"/>
      </w:tblGrid>
      <w:tr w:rsidR="00EB7C29" w14:paraId="41D3E933" w14:textId="77777777" w:rsidTr="00EB7C29">
        <w:trPr>
          <w:cantSplit/>
          <w:jc w:val="center"/>
        </w:trPr>
        <w:tc>
          <w:tcPr>
            <w:tcW w:w="942" w:type="dxa"/>
            <w:vMerge w:val="restart"/>
            <w:tcBorders>
              <w:top w:val="single" w:sz="4" w:space="0" w:color="auto"/>
              <w:left w:val="single" w:sz="4" w:space="0" w:color="auto"/>
              <w:bottom w:val="single" w:sz="4" w:space="0" w:color="auto"/>
              <w:right w:val="single" w:sz="4" w:space="0" w:color="auto"/>
            </w:tcBorders>
            <w:hideMark/>
          </w:tcPr>
          <w:p w14:paraId="2CB5E7F8" w14:textId="77777777" w:rsidR="00EB7C29" w:rsidRDefault="00EB7C29">
            <w:pPr>
              <w:pStyle w:val="TAH"/>
              <w:rPr>
                <w:rFonts w:cs="Arial"/>
              </w:rPr>
            </w:pPr>
            <w:r>
              <w:rPr>
                <w:rFonts w:cs="Arial"/>
              </w:rPr>
              <w:t>Frequency band</w:t>
            </w:r>
          </w:p>
          <w:p w14:paraId="5990D635" w14:textId="77777777" w:rsidR="00EB7C29" w:rsidRDefault="00EB7C29">
            <w:pPr>
              <w:pStyle w:val="TAH"/>
              <w:rPr>
                <w:rFonts w:cs="Arial"/>
              </w:rPr>
            </w:pPr>
            <w:r>
              <w:rPr>
                <w:rFonts w:cs="Arial"/>
              </w:rPr>
              <w:t>(GHz)</w:t>
            </w:r>
          </w:p>
        </w:tc>
        <w:tc>
          <w:tcPr>
            <w:tcW w:w="0" w:type="auto"/>
            <w:gridSpan w:val="4"/>
            <w:tcBorders>
              <w:top w:val="single" w:sz="4" w:space="0" w:color="auto"/>
              <w:left w:val="single" w:sz="4" w:space="0" w:color="auto"/>
              <w:bottom w:val="single" w:sz="4" w:space="0" w:color="auto"/>
              <w:right w:val="single" w:sz="4" w:space="0" w:color="auto"/>
            </w:tcBorders>
            <w:hideMark/>
          </w:tcPr>
          <w:p w14:paraId="2476832D" w14:textId="77777777" w:rsidR="00EB7C29" w:rsidRDefault="00EB7C29">
            <w:pPr>
              <w:pStyle w:val="TAH"/>
              <w:rPr>
                <w:rFonts w:eastAsia="SimSun" w:cs="Arial"/>
              </w:rPr>
            </w:pPr>
            <w:r>
              <w:rPr>
                <w:rFonts w:cs="Arial"/>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93199B" w14:textId="77777777" w:rsidR="00EB7C29" w:rsidRDefault="00EB7C29">
            <w:pPr>
              <w:pStyle w:val="TAH"/>
              <w:rPr>
                <w:rFonts w:eastAsiaTheme="minorEastAsia" w:cs="Arial"/>
              </w:rPr>
            </w:pPr>
            <w:r>
              <w:rPr>
                <w:rFonts w:cs="Arial"/>
              </w:rPr>
              <w:t xml:space="preserve">Measurement bandwidth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4A3B5B" w14:textId="77777777" w:rsidR="00EB7C29" w:rsidRDefault="00EB7C29">
            <w:pPr>
              <w:pStyle w:val="TAH"/>
              <w:rPr>
                <w:rFonts w:cs="Arial"/>
              </w:rPr>
            </w:pPr>
            <w:r>
              <w:rPr>
                <w:rFonts w:cs="Arial"/>
              </w:rPr>
              <w:t>NOTE</w:t>
            </w:r>
          </w:p>
        </w:tc>
      </w:tr>
      <w:tr w:rsidR="00EB7C29" w14:paraId="2B77806D" w14:textId="77777777" w:rsidTr="00EB7C29">
        <w:trPr>
          <w:jc w:val="center"/>
        </w:trPr>
        <w:tc>
          <w:tcPr>
            <w:tcW w:w="942" w:type="dxa"/>
            <w:vMerge/>
            <w:tcBorders>
              <w:top w:val="single" w:sz="4" w:space="0" w:color="auto"/>
              <w:left w:val="single" w:sz="4" w:space="0" w:color="auto"/>
              <w:bottom w:val="single" w:sz="4" w:space="0" w:color="auto"/>
              <w:right w:val="single" w:sz="4" w:space="0" w:color="auto"/>
            </w:tcBorders>
            <w:vAlign w:val="center"/>
            <w:hideMark/>
          </w:tcPr>
          <w:p w14:paraId="79A62CE1" w14:textId="77777777" w:rsidR="00EB7C29" w:rsidRDefault="00EB7C29">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714AE65" w14:textId="77777777" w:rsidR="00EB7C29" w:rsidRDefault="00EB7C29">
            <w:pPr>
              <w:pStyle w:val="TAH"/>
              <w:rPr>
                <w:rFonts w:cs="Arial"/>
              </w:rPr>
            </w:pPr>
            <w:r>
              <w:rPr>
                <w:rFonts w:cs="Arial"/>
              </w:rPr>
              <w:t>50</w:t>
            </w:r>
          </w:p>
          <w:p w14:paraId="6F733FDD" w14:textId="77777777" w:rsidR="00EB7C29" w:rsidRDefault="00EB7C29">
            <w:pPr>
              <w:pStyle w:val="TAH"/>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hideMark/>
          </w:tcPr>
          <w:p w14:paraId="33660622" w14:textId="77777777" w:rsidR="00EB7C29" w:rsidRDefault="00EB7C29">
            <w:pPr>
              <w:pStyle w:val="TAH"/>
              <w:rPr>
                <w:rFonts w:cs="Arial"/>
              </w:rPr>
            </w:pPr>
            <w:r>
              <w:rPr>
                <w:rFonts w:cs="Arial"/>
              </w:rPr>
              <w:t>100</w:t>
            </w:r>
          </w:p>
          <w:p w14:paraId="6C062223" w14:textId="77777777" w:rsidR="00EB7C29" w:rsidRDefault="00EB7C29">
            <w:pPr>
              <w:pStyle w:val="TAH"/>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hideMark/>
          </w:tcPr>
          <w:p w14:paraId="4258861C" w14:textId="77777777" w:rsidR="00EB7C29" w:rsidRDefault="00EB7C29">
            <w:pPr>
              <w:pStyle w:val="TAH"/>
              <w:rPr>
                <w:rFonts w:cs="Arial"/>
              </w:rPr>
            </w:pPr>
            <w:r>
              <w:rPr>
                <w:rFonts w:cs="Arial"/>
              </w:rPr>
              <w:t>200</w:t>
            </w:r>
          </w:p>
          <w:p w14:paraId="591DC181" w14:textId="77777777" w:rsidR="00EB7C29" w:rsidRDefault="00EB7C29">
            <w:pPr>
              <w:pStyle w:val="TAH"/>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hideMark/>
          </w:tcPr>
          <w:p w14:paraId="659549D4" w14:textId="77777777" w:rsidR="00EB7C29" w:rsidRDefault="00EB7C29">
            <w:pPr>
              <w:pStyle w:val="TAH"/>
              <w:rPr>
                <w:rFonts w:cs="Arial"/>
              </w:rPr>
            </w:pPr>
            <w:r>
              <w:rPr>
                <w:rFonts w:cs="Arial"/>
              </w:rPr>
              <w:t>400</w:t>
            </w:r>
          </w:p>
          <w:p w14:paraId="2B3E2D4C" w14:textId="77777777" w:rsidR="00EB7C29" w:rsidRDefault="00EB7C29">
            <w:pPr>
              <w:pStyle w:val="TAH"/>
              <w:rPr>
                <w:rFonts w:cs="Arial"/>
              </w:rPr>
            </w:pPr>
            <w:r>
              <w:rPr>
                <w:rFonts w:cs="Arial"/>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89F0" w14:textId="77777777" w:rsidR="00EB7C29" w:rsidRDefault="00EB7C2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810B" w14:textId="77777777" w:rsidR="00EB7C29" w:rsidRDefault="00EB7C29">
            <w:pPr>
              <w:spacing w:after="0"/>
              <w:rPr>
                <w:rFonts w:ascii="Arial" w:hAnsi="Arial" w:cs="Arial"/>
                <w:b/>
                <w:sz w:val="18"/>
              </w:rPr>
            </w:pPr>
          </w:p>
        </w:tc>
      </w:tr>
      <w:tr w:rsidR="00EB7C29" w14:paraId="755472D2" w14:textId="77777777" w:rsidTr="00EB7C29">
        <w:trPr>
          <w:trHeight w:val="340"/>
          <w:jc w:val="center"/>
        </w:trPr>
        <w:tc>
          <w:tcPr>
            <w:tcW w:w="942" w:type="dxa"/>
            <w:tcBorders>
              <w:top w:val="single" w:sz="4" w:space="0" w:color="auto"/>
              <w:left w:val="single" w:sz="4" w:space="0" w:color="auto"/>
              <w:bottom w:val="single" w:sz="4" w:space="0" w:color="auto"/>
              <w:right w:val="single" w:sz="4" w:space="0" w:color="auto"/>
            </w:tcBorders>
            <w:hideMark/>
          </w:tcPr>
          <w:p w14:paraId="2286B223" w14:textId="77777777" w:rsidR="00EB7C29" w:rsidRDefault="00EB7C29">
            <w:pPr>
              <w:pStyle w:val="TAC"/>
              <w:rPr>
                <w:rFonts w:cs="Arial"/>
              </w:rPr>
            </w:pPr>
            <w:r>
              <w:rPr>
                <w:rFonts w:cs="Arial"/>
              </w:rPr>
              <w:lastRenderedPageBreak/>
              <w:t xml:space="preserve">23.6 </w:t>
            </w:r>
            <w:r>
              <w:rPr>
                <w:rFonts w:ascii="Symbol" w:hAnsi="Symbol" w:cs="Arial"/>
              </w:rPr>
              <w:t></w:t>
            </w:r>
            <w:r>
              <w:rPr>
                <w:rFonts w:ascii="Symbol" w:hAnsi="Symbol" w:cs="Arial"/>
              </w:rPr>
              <w:t></w:t>
            </w:r>
            <w:r>
              <w:rPr>
                <w:rFonts w:cs="Arial"/>
              </w:rPr>
              <w:t xml:space="preserve">f </w:t>
            </w:r>
            <w:r>
              <w:rPr>
                <w:rFonts w:ascii="Symbol" w:hAnsi="Symbol" w:cs="Arial"/>
              </w:rPr>
              <w:t></w:t>
            </w:r>
            <w:r>
              <w:rPr>
                <w:rFonts w:ascii="Symbol" w:hAnsi="Symbol" w:cs="Arial"/>
              </w:rPr>
              <w:t></w:t>
            </w:r>
            <w:r>
              <w:rPr>
                <w:rFonts w:cs="Arial"/>
              </w:rPr>
              <w:t>24</w:t>
            </w:r>
          </w:p>
        </w:tc>
        <w:tc>
          <w:tcPr>
            <w:tcW w:w="0" w:type="auto"/>
            <w:tcBorders>
              <w:top w:val="single" w:sz="4" w:space="0" w:color="auto"/>
              <w:left w:val="single" w:sz="4" w:space="0" w:color="auto"/>
              <w:bottom w:val="single" w:sz="4" w:space="0" w:color="auto"/>
              <w:right w:val="single" w:sz="4" w:space="0" w:color="auto"/>
            </w:tcBorders>
            <w:hideMark/>
          </w:tcPr>
          <w:p w14:paraId="246CA8B5" w14:textId="77777777" w:rsidR="00EB7C29" w:rsidRDefault="00EB7C29">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hideMark/>
          </w:tcPr>
          <w:p w14:paraId="7790DFDF" w14:textId="77777777" w:rsidR="00EB7C29" w:rsidRDefault="00EB7C29">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hideMark/>
          </w:tcPr>
          <w:p w14:paraId="0BE97017" w14:textId="77777777" w:rsidR="00EB7C29" w:rsidRDefault="00EB7C29">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hideMark/>
          </w:tcPr>
          <w:p w14:paraId="157DE26C" w14:textId="77777777" w:rsidR="00EB7C29" w:rsidRDefault="00EB7C29">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hideMark/>
          </w:tcPr>
          <w:p w14:paraId="19640854" w14:textId="77777777" w:rsidR="00EB7C29" w:rsidRDefault="00EB7C29">
            <w:pPr>
              <w:pStyle w:val="TAC"/>
              <w:rPr>
                <w:rFonts w:cs="Arial"/>
              </w:rPr>
            </w:pPr>
            <w:r>
              <w:rPr>
                <w:rFonts w:cs="Arial"/>
              </w:rPr>
              <w:t>200 MHz</w:t>
            </w:r>
          </w:p>
        </w:tc>
        <w:tc>
          <w:tcPr>
            <w:tcW w:w="0" w:type="auto"/>
            <w:tcBorders>
              <w:top w:val="single" w:sz="4" w:space="0" w:color="auto"/>
              <w:left w:val="single" w:sz="4" w:space="0" w:color="auto"/>
              <w:bottom w:val="single" w:sz="4" w:space="0" w:color="auto"/>
              <w:right w:val="single" w:sz="4" w:space="0" w:color="auto"/>
            </w:tcBorders>
            <w:hideMark/>
          </w:tcPr>
          <w:p w14:paraId="2DA02FBF" w14:textId="77777777" w:rsidR="00EB7C29" w:rsidRDefault="00EB7C29">
            <w:pPr>
              <w:pStyle w:val="TAC"/>
              <w:rPr>
                <w:rFonts w:cs="Arial"/>
              </w:rPr>
            </w:pPr>
            <w:r>
              <w:rPr>
                <w:rFonts w:cs="Arial"/>
              </w:rPr>
              <w:t>1</w:t>
            </w:r>
          </w:p>
        </w:tc>
      </w:tr>
      <w:tr w:rsidR="00EB7C29" w:rsidRPr="00EB7C29" w14:paraId="1AC53F8E" w14:textId="77777777" w:rsidTr="00EB7C29">
        <w:trPr>
          <w:trHeight w:val="340"/>
          <w:jc w:val="center"/>
        </w:trPr>
        <w:tc>
          <w:tcPr>
            <w:tcW w:w="8641" w:type="dxa"/>
            <w:gridSpan w:val="7"/>
            <w:tcBorders>
              <w:top w:val="single" w:sz="4" w:space="0" w:color="auto"/>
              <w:left w:val="single" w:sz="4" w:space="0" w:color="auto"/>
              <w:bottom w:val="single" w:sz="4" w:space="0" w:color="auto"/>
              <w:right w:val="single" w:sz="4" w:space="0" w:color="auto"/>
            </w:tcBorders>
            <w:hideMark/>
          </w:tcPr>
          <w:p w14:paraId="43C5EA95" w14:textId="77777777" w:rsidR="00EB7C29" w:rsidRDefault="00EB7C29">
            <w:pPr>
              <w:pStyle w:val="TAN"/>
              <w:rPr>
                <w:rFonts w:cs="Arial"/>
              </w:rPr>
            </w:pPr>
            <w:r>
              <w:t>NOTE 1:</w:t>
            </w:r>
            <w:r>
              <w:tab/>
              <w:t>The protection of frequency range 23600 - 24000 MHz is meant for protection of satellite passive services.</w:t>
            </w:r>
          </w:p>
        </w:tc>
      </w:tr>
    </w:tbl>
    <w:p w14:paraId="6CCF359D" w14:textId="7458090B" w:rsidR="00EB7C29" w:rsidRDefault="00EB7C29" w:rsidP="00A30F7E"/>
    <w:p w14:paraId="705FE4D4" w14:textId="21575E0F" w:rsidR="00EB7C29" w:rsidRDefault="00EB7C29" w:rsidP="00A30F7E">
      <w:r>
        <w:t>Also A-MPR has been specified to meet requirements indicated by NS_201. When the WRC-19 outcome is compared to current requirements, it can be seen that the WRC-19 requirement corresponds to 1 dBm/200 MHz and is therefore 9 dB more relaxed compared to current NS_201 requirements. In addition, the limit applicable after 1 September 2027 matches to -5 dBm/MHz, which is also 3 dB more relaxed compared to current specification.</w:t>
      </w:r>
    </w:p>
    <w:p w14:paraId="2FC01E8C" w14:textId="00DB0BCD" w:rsidR="00EB7C29" w:rsidRDefault="00EB7C29" w:rsidP="00A30F7E">
      <w:pPr>
        <w:rPr>
          <w:b/>
          <w:bCs/>
        </w:rPr>
      </w:pPr>
      <w:r w:rsidRPr="00EB7C29">
        <w:rPr>
          <w:b/>
          <w:bCs/>
        </w:rPr>
        <w:t>Observation 1:</w:t>
      </w:r>
      <w:r>
        <w:rPr>
          <w:b/>
          <w:bCs/>
        </w:rPr>
        <w:t xml:space="preserve"> WRC-19 has agreed on updated emission requirements for EESS protection within 23.6 – 24.0 GHz, and the new requirements are up to 9 dB relaxed compared to currently specified limits in TS 38.101-2.</w:t>
      </w:r>
    </w:p>
    <w:p w14:paraId="6E60724A" w14:textId="6240E69D" w:rsidR="00EB7C29" w:rsidRDefault="00EB7C29" w:rsidP="00A30F7E">
      <w:r>
        <w:t xml:space="preserve">It is important not the maintain unnecessarily stringent requirements which allow excessive power reduction. Therefore, it is proposed that </w:t>
      </w:r>
      <w:r w:rsidR="001D186C">
        <w:t>TS 38.101-2</w:t>
      </w:r>
      <w:r>
        <w:t xml:space="preserve"> shall be </w:t>
      </w:r>
      <w:r w:rsidR="001D186C">
        <w:t>updated according to WRC-19 outcome</w:t>
      </w:r>
      <w:r>
        <w:t xml:space="preserve"> and the need for A-MPR for NS_201 shall be re-evaluated.</w:t>
      </w:r>
    </w:p>
    <w:p w14:paraId="6EDC0B58" w14:textId="06166C76" w:rsidR="001D186C" w:rsidRPr="001D186C" w:rsidRDefault="001D186C" w:rsidP="00A30F7E">
      <w:pPr>
        <w:rPr>
          <w:b/>
          <w:bCs/>
        </w:rPr>
      </w:pPr>
      <w:r w:rsidRPr="001D186C">
        <w:rPr>
          <w:b/>
          <w:bCs/>
        </w:rPr>
        <w:t xml:space="preserve">Proposal 1: EESS protection requirements for 23.6 – 24 GHz shall be updated in TS 38.101-2 according to WRC-19 outcome and the corresponding need for A-MPR shall be re-evaluated and </w:t>
      </w:r>
      <w:r w:rsidR="00B2403B">
        <w:rPr>
          <w:b/>
          <w:bCs/>
        </w:rPr>
        <w:t>specification</w:t>
      </w:r>
      <w:r w:rsidR="00B2403B" w:rsidRPr="001D186C">
        <w:rPr>
          <w:b/>
          <w:bCs/>
        </w:rPr>
        <w:t xml:space="preserve"> </w:t>
      </w:r>
      <w:r w:rsidRPr="001D186C">
        <w:rPr>
          <w:b/>
          <w:bCs/>
        </w:rPr>
        <w:t>updated accordingly.</w:t>
      </w:r>
    </w:p>
    <w:p w14:paraId="52782008" w14:textId="524CB258" w:rsidR="00F32200" w:rsidRDefault="00F32200" w:rsidP="00F32200">
      <w:pPr>
        <w:pStyle w:val="Heading1"/>
      </w:pPr>
      <w:r>
        <w:t>3</w:t>
      </w:r>
      <w:r>
        <w:tab/>
        <w:t>Conclusion</w:t>
      </w:r>
    </w:p>
    <w:p w14:paraId="684B36C8" w14:textId="20050B44" w:rsidR="0073601D" w:rsidRDefault="0056035D" w:rsidP="00D371FB">
      <w:r>
        <w:t xml:space="preserve">In this contribution </w:t>
      </w:r>
      <w:r w:rsidR="001D186C">
        <w:t>UE requirements for EESS protection within 23.6 – 24 GHz was discussed and following observation and proposal was made</w:t>
      </w:r>
    </w:p>
    <w:p w14:paraId="6C247DD8" w14:textId="77777777" w:rsidR="001D186C" w:rsidRDefault="001D186C" w:rsidP="001D186C">
      <w:pPr>
        <w:rPr>
          <w:b/>
          <w:bCs/>
        </w:rPr>
      </w:pPr>
      <w:r w:rsidRPr="00EB7C29">
        <w:rPr>
          <w:b/>
          <w:bCs/>
        </w:rPr>
        <w:t>Observation 1:</w:t>
      </w:r>
      <w:r>
        <w:rPr>
          <w:b/>
          <w:bCs/>
        </w:rPr>
        <w:t xml:space="preserve"> WRC-19 has agreed on updated emission requirements for EESS protection within 23.6 – 24.0 GHz, and the new requirements are up to 9 dB relaxed compared to currently specified limits in TS 38.101-2.</w:t>
      </w:r>
    </w:p>
    <w:p w14:paraId="7C8DF934" w14:textId="461072AE" w:rsidR="001D186C" w:rsidRDefault="001D186C" w:rsidP="00D371FB">
      <w:pPr>
        <w:rPr>
          <w:b/>
          <w:bCs/>
        </w:rPr>
      </w:pPr>
      <w:r w:rsidRPr="001D186C">
        <w:rPr>
          <w:b/>
          <w:bCs/>
        </w:rPr>
        <w:t xml:space="preserve">Proposal 1: EESS protection requirements for 23.6 – 24 GHz shall be updated in TS 38.101-2 according to WRC-19 outcome and the corresponding need for A-MPR shall be re-evaluated and </w:t>
      </w:r>
      <w:r w:rsidR="00B2403B">
        <w:rPr>
          <w:b/>
          <w:bCs/>
        </w:rPr>
        <w:t xml:space="preserve">specification </w:t>
      </w:r>
      <w:r w:rsidRPr="001D186C">
        <w:rPr>
          <w:b/>
          <w:bCs/>
        </w:rPr>
        <w:t>updated accordingly.</w:t>
      </w:r>
    </w:p>
    <w:p w14:paraId="55B204E9" w14:textId="77777777" w:rsidR="0057669F" w:rsidRDefault="0057669F" w:rsidP="0057669F">
      <w:pPr>
        <w:pStyle w:val="Heading1"/>
      </w:pPr>
      <w:r>
        <w:t>4</w:t>
      </w:r>
      <w:r>
        <w:tab/>
        <w:t>Reference</w:t>
      </w:r>
      <w:r w:rsidR="0035582C">
        <w:t>s</w:t>
      </w:r>
    </w:p>
    <w:p w14:paraId="31B71FF2" w14:textId="3CC7E523" w:rsidR="00A30F7E" w:rsidRPr="00A30F7E" w:rsidRDefault="00A30F7E" w:rsidP="00A30F7E">
      <w:pPr>
        <w:pStyle w:val="EX"/>
        <w:numPr>
          <w:ilvl w:val="0"/>
          <w:numId w:val="16"/>
        </w:numPr>
        <w:ind w:left="426" w:hanging="426"/>
        <w:rPr>
          <w:lang w:val="en-US"/>
        </w:rPr>
      </w:pPr>
      <w:r>
        <w:rPr>
          <w:lang w:val="en-US"/>
        </w:rPr>
        <w:t xml:space="preserve">World Radiocommunication Conference 2019 (WRC-19), </w:t>
      </w:r>
      <w:hyperlink r:id="rId8" w:history="1">
        <w:r>
          <w:rPr>
            <w:rStyle w:val="Hyperlink"/>
            <w:lang w:val="en-US"/>
          </w:rPr>
          <w:t xml:space="preserve"> Provisional Final Acts</w:t>
        </w:r>
      </w:hyperlink>
      <w:r>
        <w:rPr>
          <w:lang w:val="en-US"/>
        </w:rPr>
        <w:t xml:space="preserve">, </w:t>
      </w:r>
      <w:r>
        <w:t>International Telecommunication Union Radiocommunication Sector</w:t>
      </w:r>
    </w:p>
    <w:p w14:paraId="5BAE4B5A" w14:textId="77777777" w:rsidR="00A30F7E" w:rsidRDefault="00A30F7E" w:rsidP="00A30F7E">
      <w:pPr>
        <w:pStyle w:val="EX"/>
        <w:ind w:left="0" w:firstLine="0"/>
        <w:rPr>
          <w:lang w:val="en-US"/>
        </w:rPr>
      </w:pPr>
    </w:p>
    <w:p w14:paraId="5CE19DDF" w14:textId="35D7349C" w:rsidR="00115068" w:rsidRPr="00DA21EC" w:rsidRDefault="00115068" w:rsidP="00CF183D">
      <w:pPr>
        <w:rPr>
          <w:color w:val="FF0000"/>
          <w:sz w:val="28"/>
          <w:lang w:val="en-US"/>
        </w:rPr>
      </w:pPr>
    </w:p>
    <w:sectPr w:rsidR="00115068" w:rsidRPr="00DA21EC" w:rsidSect="00F3220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4003" w14:textId="77777777" w:rsidR="00BF2D9F" w:rsidRDefault="00BF2D9F" w:rsidP="002B3503">
      <w:pPr>
        <w:spacing w:after="0"/>
      </w:pPr>
      <w:r>
        <w:separator/>
      </w:r>
    </w:p>
  </w:endnote>
  <w:endnote w:type="continuationSeparator" w:id="0">
    <w:p w14:paraId="368F7546" w14:textId="77777777" w:rsidR="00BF2D9F" w:rsidRDefault="00BF2D9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52AC3" w14:textId="77777777" w:rsidR="00BF2D9F" w:rsidRDefault="00BF2D9F" w:rsidP="002B3503">
      <w:pPr>
        <w:spacing w:after="0"/>
      </w:pPr>
      <w:r>
        <w:separator/>
      </w:r>
    </w:p>
  </w:footnote>
  <w:footnote w:type="continuationSeparator" w:id="0">
    <w:p w14:paraId="4F0F45E9" w14:textId="77777777" w:rsidR="00BF2D9F" w:rsidRDefault="00BF2D9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4"/>
  </w:num>
  <w:num w:numId="3">
    <w:abstractNumId w:val="7"/>
  </w:num>
  <w:num w:numId="4">
    <w:abstractNumId w:val="11"/>
  </w:num>
  <w:num w:numId="5">
    <w:abstractNumId w:val="12"/>
  </w:num>
  <w:num w:numId="6">
    <w:abstractNumId w:val="13"/>
  </w:num>
  <w:num w:numId="7">
    <w:abstractNumId w:val="6"/>
  </w:num>
  <w:num w:numId="8">
    <w:abstractNumId w:val="2"/>
  </w:num>
  <w:num w:numId="9">
    <w:abstractNumId w:val="0"/>
  </w:num>
  <w:num w:numId="10">
    <w:abstractNumId w:val="8"/>
  </w:num>
  <w:num w:numId="11">
    <w:abstractNumId w:val="15"/>
  </w:num>
  <w:num w:numId="12">
    <w:abstractNumId w:val="1"/>
  </w:num>
  <w:num w:numId="13">
    <w:abstractNumId w:val="4"/>
  </w:num>
  <w:num w:numId="14">
    <w:abstractNumId w:val="10"/>
  </w:num>
  <w:num w:numId="15">
    <w:abstractNumId w:val="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779BE"/>
    <w:rsid w:val="0018022D"/>
    <w:rsid w:val="001B180D"/>
    <w:rsid w:val="001B46BB"/>
    <w:rsid w:val="001B494A"/>
    <w:rsid w:val="001C3296"/>
    <w:rsid w:val="001D186C"/>
    <w:rsid w:val="001D4627"/>
    <w:rsid w:val="001D6F67"/>
    <w:rsid w:val="001E542E"/>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725A3"/>
    <w:rsid w:val="00277EE7"/>
    <w:rsid w:val="00281158"/>
    <w:rsid w:val="00285189"/>
    <w:rsid w:val="00285EBA"/>
    <w:rsid w:val="00291DDD"/>
    <w:rsid w:val="002A7181"/>
    <w:rsid w:val="002B3503"/>
    <w:rsid w:val="002B3F6F"/>
    <w:rsid w:val="002C1641"/>
    <w:rsid w:val="002C1C70"/>
    <w:rsid w:val="002D2721"/>
    <w:rsid w:val="002D6A65"/>
    <w:rsid w:val="002E3A4E"/>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A1BF2"/>
    <w:rsid w:val="003B40E9"/>
    <w:rsid w:val="003C3016"/>
    <w:rsid w:val="003D3111"/>
    <w:rsid w:val="003D5813"/>
    <w:rsid w:val="003E36C3"/>
    <w:rsid w:val="003F0CBC"/>
    <w:rsid w:val="003F1982"/>
    <w:rsid w:val="004035FC"/>
    <w:rsid w:val="00404C40"/>
    <w:rsid w:val="00405E3D"/>
    <w:rsid w:val="00420E2F"/>
    <w:rsid w:val="0042109F"/>
    <w:rsid w:val="00427F57"/>
    <w:rsid w:val="0043450E"/>
    <w:rsid w:val="00447C2E"/>
    <w:rsid w:val="0045082D"/>
    <w:rsid w:val="004533DE"/>
    <w:rsid w:val="00453BA5"/>
    <w:rsid w:val="00454E53"/>
    <w:rsid w:val="004754A1"/>
    <w:rsid w:val="00482477"/>
    <w:rsid w:val="00482BAF"/>
    <w:rsid w:val="00484762"/>
    <w:rsid w:val="00491386"/>
    <w:rsid w:val="00494F18"/>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A43C6"/>
    <w:rsid w:val="008A4493"/>
    <w:rsid w:val="008A5AE8"/>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269DA"/>
    <w:rsid w:val="00A30758"/>
    <w:rsid w:val="00A30A04"/>
    <w:rsid w:val="00A30C91"/>
    <w:rsid w:val="00A30F7E"/>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B5402"/>
    <w:rsid w:val="00AC6D7C"/>
    <w:rsid w:val="00AD0C29"/>
    <w:rsid w:val="00AD15D4"/>
    <w:rsid w:val="00AD71AD"/>
    <w:rsid w:val="00AE6327"/>
    <w:rsid w:val="00AF14A0"/>
    <w:rsid w:val="00B1541B"/>
    <w:rsid w:val="00B1706D"/>
    <w:rsid w:val="00B172CC"/>
    <w:rsid w:val="00B2403B"/>
    <w:rsid w:val="00B31BAE"/>
    <w:rsid w:val="00B4385F"/>
    <w:rsid w:val="00B638DE"/>
    <w:rsid w:val="00B6504C"/>
    <w:rsid w:val="00B65B59"/>
    <w:rsid w:val="00B675CB"/>
    <w:rsid w:val="00BA3DB3"/>
    <w:rsid w:val="00BB523E"/>
    <w:rsid w:val="00BC764C"/>
    <w:rsid w:val="00BD0FF7"/>
    <w:rsid w:val="00BD3170"/>
    <w:rsid w:val="00BE140C"/>
    <w:rsid w:val="00BE1BA0"/>
    <w:rsid w:val="00BE5FB6"/>
    <w:rsid w:val="00BF2D9F"/>
    <w:rsid w:val="00BF4B17"/>
    <w:rsid w:val="00C14230"/>
    <w:rsid w:val="00C21554"/>
    <w:rsid w:val="00C23F94"/>
    <w:rsid w:val="00C24C90"/>
    <w:rsid w:val="00C24D31"/>
    <w:rsid w:val="00C33434"/>
    <w:rsid w:val="00C36E1B"/>
    <w:rsid w:val="00C55B96"/>
    <w:rsid w:val="00C57BDA"/>
    <w:rsid w:val="00C6627F"/>
    <w:rsid w:val="00C944DE"/>
    <w:rsid w:val="00CA5455"/>
    <w:rsid w:val="00CB1708"/>
    <w:rsid w:val="00CB69B3"/>
    <w:rsid w:val="00CB7240"/>
    <w:rsid w:val="00CB768E"/>
    <w:rsid w:val="00CC3529"/>
    <w:rsid w:val="00CD4FAF"/>
    <w:rsid w:val="00CE6171"/>
    <w:rsid w:val="00CF183D"/>
    <w:rsid w:val="00CF249F"/>
    <w:rsid w:val="00CF4657"/>
    <w:rsid w:val="00D10E8C"/>
    <w:rsid w:val="00D16EA7"/>
    <w:rsid w:val="00D23C06"/>
    <w:rsid w:val="00D26459"/>
    <w:rsid w:val="00D275CC"/>
    <w:rsid w:val="00D309FF"/>
    <w:rsid w:val="00D324A8"/>
    <w:rsid w:val="00D355D3"/>
    <w:rsid w:val="00D371FB"/>
    <w:rsid w:val="00D54EAA"/>
    <w:rsid w:val="00D5669A"/>
    <w:rsid w:val="00D5699B"/>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46CA7"/>
    <w:rsid w:val="00E56A42"/>
    <w:rsid w:val="00E62063"/>
    <w:rsid w:val="00E62B4E"/>
    <w:rsid w:val="00E90BCB"/>
    <w:rsid w:val="00E962C5"/>
    <w:rsid w:val="00EA3488"/>
    <w:rsid w:val="00EB5F7D"/>
    <w:rsid w:val="00EB7C29"/>
    <w:rsid w:val="00EC589F"/>
    <w:rsid w:val="00EF103D"/>
    <w:rsid w:val="00EF4045"/>
    <w:rsid w:val="00EF6304"/>
    <w:rsid w:val="00F03666"/>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3A4E"/>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2E3A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E3A4E"/>
    <w:pPr>
      <w:pBdr>
        <w:top w:val="none" w:sz="0" w:space="0" w:color="auto"/>
      </w:pBdr>
      <w:spacing w:before="180"/>
      <w:outlineLvl w:val="1"/>
    </w:pPr>
    <w:rPr>
      <w:sz w:val="32"/>
    </w:rPr>
  </w:style>
  <w:style w:type="paragraph" w:styleId="Heading3">
    <w:name w:val="heading 3"/>
    <w:basedOn w:val="Heading2"/>
    <w:next w:val="Normal"/>
    <w:qFormat/>
    <w:rsid w:val="002E3A4E"/>
    <w:pPr>
      <w:spacing w:before="120"/>
      <w:outlineLvl w:val="2"/>
    </w:pPr>
    <w:rPr>
      <w:sz w:val="28"/>
    </w:rPr>
  </w:style>
  <w:style w:type="paragraph" w:styleId="Heading4">
    <w:name w:val="heading 4"/>
    <w:basedOn w:val="Heading3"/>
    <w:next w:val="Normal"/>
    <w:qFormat/>
    <w:rsid w:val="002E3A4E"/>
    <w:pPr>
      <w:ind w:left="1418" w:hanging="1418"/>
      <w:outlineLvl w:val="3"/>
    </w:pPr>
    <w:rPr>
      <w:sz w:val="24"/>
    </w:rPr>
  </w:style>
  <w:style w:type="paragraph" w:styleId="Heading5">
    <w:name w:val="heading 5"/>
    <w:basedOn w:val="Heading4"/>
    <w:next w:val="Normal"/>
    <w:qFormat/>
    <w:rsid w:val="002E3A4E"/>
    <w:pPr>
      <w:ind w:left="1701" w:hanging="1701"/>
      <w:outlineLvl w:val="4"/>
    </w:pPr>
    <w:rPr>
      <w:sz w:val="22"/>
    </w:rPr>
  </w:style>
  <w:style w:type="paragraph" w:styleId="Heading6">
    <w:name w:val="heading 6"/>
    <w:basedOn w:val="H6"/>
    <w:next w:val="Normal"/>
    <w:qFormat/>
    <w:rsid w:val="002E3A4E"/>
    <w:pPr>
      <w:outlineLvl w:val="5"/>
    </w:pPr>
  </w:style>
  <w:style w:type="paragraph" w:styleId="Heading7">
    <w:name w:val="heading 7"/>
    <w:basedOn w:val="H6"/>
    <w:next w:val="Normal"/>
    <w:qFormat/>
    <w:rsid w:val="002E3A4E"/>
    <w:pPr>
      <w:outlineLvl w:val="6"/>
    </w:pPr>
  </w:style>
  <w:style w:type="paragraph" w:styleId="Heading8">
    <w:name w:val="heading 8"/>
    <w:basedOn w:val="Heading1"/>
    <w:next w:val="Normal"/>
    <w:qFormat/>
    <w:rsid w:val="002E3A4E"/>
    <w:pPr>
      <w:ind w:left="0" w:firstLine="0"/>
      <w:outlineLvl w:val="7"/>
    </w:pPr>
  </w:style>
  <w:style w:type="paragraph" w:styleId="Heading9">
    <w:name w:val="heading 9"/>
    <w:basedOn w:val="Heading8"/>
    <w:next w:val="Normal"/>
    <w:qFormat/>
    <w:rsid w:val="002E3A4E"/>
    <w:pPr>
      <w:outlineLvl w:val="8"/>
    </w:pPr>
  </w:style>
  <w:style w:type="character" w:default="1" w:styleId="DefaultParagraphFont">
    <w:name w:val="Default Paragraph Font"/>
    <w:semiHidden/>
    <w:rsid w:val="002E3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A4E"/>
  </w:style>
  <w:style w:type="paragraph" w:styleId="TOC8">
    <w:name w:val="toc 8"/>
    <w:basedOn w:val="TOC1"/>
    <w:semiHidden/>
    <w:rsid w:val="002E3A4E"/>
    <w:pPr>
      <w:spacing w:before="180"/>
      <w:ind w:left="2693" w:hanging="2693"/>
    </w:pPr>
    <w:rPr>
      <w:b/>
    </w:rPr>
  </w:style>
  <w:style w:type="paragraph" w:styleId="TOC1">
    <w:name w:val="toc 1"/>
    <w:semiHidden/>
    <w:rsid w:val="002E3A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2E3A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E3A4E"/>
    <w:pPr>
      <w:ind w:left="1701" w:hanging="1701"/>
    </w:pPr>
  </w:style>
  <w:style w:type="paragraph" w:styleId="TOC4">
    <w:name w:val="toc 4"/>
    <w:basedOn w:val="TOC3"/>
    <w:semiHidden/>
    <w:rsid w:val="002E3A4E"/>
    <w:pPr>
      <w:ind w:left="1418" w:hanging="1418"/>
    </w:pPr>
  </w:style>
  <w:style w:type="paragraph" w:styleId="TOC3">
    <w:name w:val="toc 3"/>
    <w:basedOn w:val="TOC2"/>
    <w:semiHidden/>
    <w:rsid w:val="002E3A4E"/>
    <w:pPr>
      <w:ind w:left="1134" w:hanging="1134"/>
    </w:pPr>
  </w:style>
  <w:style w:type="paragraph" w:styleId="TOC2">
    <w:name w:val="toc 2"/>
    <w:basedOn w:val="TOC1"/>
    <w:semiHidden/>
    <w:rsid w:val="002E3A4E"/>
    <w:pPr>
      <w:keepNext w:val="0"/>
      <w:spacing w:before="0"/>
      <w:ind w:left="851" w:hanging="851"/>
    </w:pPr>
    <w:rPr>
      <w:sz w:val="20"/>
    </w:rPr>
  </w:style>
  <w:style w:type="paragraph" w:styleId="Index2">
    <w:name w:val="index 2"/>
    <w:basedOn w:val="Index1"/>
    <w:semiHidden/>
    <w:rsid w:val="002E3A4E"/>
    <w:pPr>
      <w:ind w:left="284"/>
    </w:pPr>
  </w:style>
  <w:style w:type="paragraph" w:styleId="Index1">
    <w:name w:val="index 1"/>
    <w:basedOn w:val="Normal"/>
    <w:semiHidden/>
    <w:rsid w:val="002E3A4E"/>
    <w:pPr>
      <w:keepLines/>
      <w:spacing w:after="0"/>
    </w:pPr>
  </w:style>
  <w:style w:type="paragraph" w:customStyle="1" w:styleId="ZH">
    <w:name w:val="ZH"/>
    <w:rsid w:val="002E3A4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E3A4E"/>
    <w:pPr>
      <w:outlineLvl w:val="9"/>
    </w:pPr>
  </w:style>
  <w:style w:type="paragraph" w:styleId="ListNumber2">
    <w:name w:val="List Number 2"/>
    <w:basedOn w:val="ListNumber"/>
    <w:semiHidden/>
    <w:rsid w:val="002E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E3A4E"/>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2E3A4E"/>
    <w:rPr>
      <w:b/>
      <w:position w:val="6"/>
      <w:sz w:val="16"/>
    </w:rPr>
  </w:style>
  <w:style w:type="paragraph" w:styleId="FootnoteText">
    <w:name w:val="footnote text"/>
    <w:basedOn w:val="Normal"/>
    <w:semiHidden/>
    <w:rsid w:val="002E3A4E"/>
    <w:pPr>
      <w:keepLines/>
      <w:spacing w:after="0"/>
      <w:ind w:left="454" w:hanging="454"/>
    </w:pPr>
    <w:rPr>
      <w:sz w:val="16"/>
    </w:rPr>
  </w:style>
  <w:style w:type="paragraph" w:customStyle="1" w:styleId="TAH">
    <w:name w:val="TAH"/>
    <w:basedOn w:val="TAC"/>
    <w:link w:val="TAHCar"/>
    <w:rsid w:val="002E3A4E"/>
    <w:rPr>
      <w:b/>
    </w:rPr>
  </w:style>
  <w:style w:type="paragraph" w:customStyle="1" w:styleId="TAC">
    <w:name w:val="TAC"/>
    <w:basedOn w:val="TAL"/>
    <w:link w:val="TACChar"/>
    <w:rsid w:val="002E3A4E"/>
    <w:pPr>
      <w:jc w:val="center"/>
    </w:pPr>
  </w:style>
  <w:style w:type="paragraph" w:customStyle="1" w:styleId="TF">
    <w:name w:val="TF"/>
    <w:basedOn w:val="TH"/>
    <w:rsid w:val="002E3A4E"/>
    <w:pPr>
      <w:keepNext w:val="0"/>
      <w:spacing w:before="0" w:after="240"/>
    </w:pPr>
  </w:style>
  <w:style w:type="paragraph" w:customStyle="1" w:styleId="NO">
    <w:name w:val="NO"/>
    <w:basedOn w:val="Normal"/>
    <w:rsid w:val="002E3A4E"/>
    <w:pPr>
      <w:keepLines/>
      <w:ind w:left="1135" w:hanging="851"/>
    </w:pPr>
  </w:style>
  <w:style w:type="paragraph" w:styleId="TOC9">
    <w:name w:val="toc 9"/>
    <w:basedOn w:val="TOC8"/>
    <w:semiHidden/>
    <w:rsid w:val="002E3A4E"/>
    <w:pPr>
      <w:ind w:left="1418" w:hanging="1418"/>
    </w:pPr>
  </w:style>
  <w:style w:type="paragraph" w:customStyle="1" w:styleId="EX">
    <w:name w:val="EX"/>
    <w:basedOn w:val="Normal"/>
    <w:rsid w:val="002E3A4E"/>
    <w:pPr>
      <w:keepLines/>
      <w:ind w:left="1702" w:hanging="1418"/>
    </w:pPr>
  </w:style>
  <w:style w:type="paragraph" w:customStyle="1" w:styleId="FP">
    <w:name w:val="FP"/>
    <w:basedOn w:val="Normal"/>
    <w:rsid w:val="002E3A4E"/>
    <w:pPr>
      <w:spacing w:after="0"/>
    </w:pPr>
  </w:style>
  <w:style w:type="paragraph" w:customStyle="1" w:styleId="LD">
    <w:name w:val="LD"/>
    <w:rsid w:val="002E3A4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E3A4E"/>
    <w:pPr>
      <w:spacing w:after="0"/>
    </w:pPr>
  </w:style>
  <w:style w:type="paragraph" w:customStyle="1" w:styleId="EW">
    <w:name w:val="EW"/>
    <w:basedOn w:val="EX"/>
    <w:rsid w:val="002E3A4E"/>
    <w:pPr>
      <w:spacing w:after="0"/>
    </w:pPr>
  </w:style>
  <w:style w:type="paragraph" w:styleId="TOC6">
    <w:name w:val="toc 6"/>
    <w:basedOn w:val="TOC5"/>
    <w:next w:val="Normal"/>
    <w:semiHidden/>
    <w:rsid w:val="002E3A4E"/>
    <w:pPr>
      <w:ind w:left="1985" w:hanging="1985"/>
    </w:pPr>
  </w:style>
  <w:style w:type="paragraph" w:styleId="TOC7">
    <w:name w:val="toc 7"/>
    <w:basedOn w:val="TOC6"/>
    <w:next w:val="Normal"/>
    <w:semiHidden/>
    <w:rsid w:val="002E3A4E"/>
    <w:pPr>
      <w:ind w:left="2268" w:hanging="2268"/>
    </w:pPr>
  </w:style>
  <w:style w:type="paragraph" w:styleId="ListBullet2">
    <w:name w:val="List Bullet 2"/>
    <w:basedOn w:val="ListBullet"/>
    <w:semiHidden/>
    <w:rsid w:val="002E3A4E"/>
    <w:pPr>
      <w:ind w:left="851"/>
    </w:pPr>
  </w:style>
  <w:style w:type="paragraph" w:styleId="ListBullet3">
    <w:name w:val="List Bullet 3"/>
    <w:basedOn w:val="ListBullet2"/>
    <w:semiHidden/>
    <w:rsid w:val="002E3A4E"/>
    <w:pPr>
      <w:ind w:left="1135"/>
    </w:pPr>
  </w:style>
  <w:style w:type="paragraph" w:styleId="ListNumber">
    <w:name w:val="List Number"/>
    <w:basedOn w:val="List"/>
    <w:semiHidden/>
    <w:rsid w:val="002E3A4E"/>
  </w:style>
  <w:style w:type="paragraph" w:customStyle="1" w:styleId="EQ">
    <w:name w:val="EQ"/>
    <w:basedOn w:val="Normal"/>
    <w:next w:val="Normal"/>
    <w:rsid w:val="002E3A4E"/>
    <w:pPr>
      <w:keepLines/>
      <w:tabs>
        <w:tab w:val="center" w:pos="4536"/>
        <w:tab w:val="right" w:pos="9072"/>
      </w:tabs>
    </w:pPr>
    <w:rPr>
      <w:noProof/>
    </w:rPr>
  </w:style>
  <w:style w:type="paragraph" w:customStyle="1" w:styleId="TH">
    <w:name w:val="TH"/>
    <w:basedOn w:val="Normal"/>
    <w:link w:val="THChar"/>
    <w:rsid w:val="002E3A4E"/>
    <w:pPr>
      <w:keepNext/>
      <w:keepLines/>
      <w:spacing w:before="60"/>
      <w:jc w:val="center"/>
    </w:pPr>
    <w:rPr>
      <w:rFonts w:ascii="Arial" w:hAnsi="Arial"/>
      <w:b/>
    </w:rPr>
  </w:style>
  <w:style w:type="paragraph" w:customStyle="1" w:styleId="NF">
    <w:name w:val="NF"/>
    <w:basedOn w:val="NO"/>
    <w:rsid w:val="002E3A4E"/>
    <w:pPr>
      <w:keepNext/>
      <w:spacing w:after="0"/>
    </w:pPr>
    <w:rPr>
      <w:rFonts w:ascii="Arial" w:hAnsi="Arial"/>
      <w:sz w:val="18"/>
    </w:rPr>
  </w:style>
  <w:style w:type="paragraph" w:customStyle="1" w:styleId="PL">
    <w:name w:val="PL"/>
    <w:rsid w:val="002E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E3A4E"/>
    <w:pPr>
      <w:jc w:val="right"/>
    </w:pPr>
  </w:style>
  <w:style w:type="paragraph" w:customStyle="1" w:styleId="H6">
    <w:name w:val="H6"/>
    <w:basedOn w:val="Heading5"/>
    <w:next w:val="Normal"/>
    <w:rsid w:val="002E3A4E"/>
    <w:pPr>
      <w:ind w:left="1985" w:hanging="1985"/>
      <w:outlineLvl w:val="9"/>
    </w:pPr>
    <w:rPr>
      <w:sz w:val="20"/>
    </w:rPr>
  </w:style>
  <w:style w:type="paragraph" w:customStyle="1" w:styleId="TAN">
    <w:name w:val="TAN"/>
    <w:basedOn w:val="TAL"/>
    <w:link w:val="TANChar"/>
    <w:rsid w:val="002E3A4E"/>
    <w:pPr>
      <w:ind w:left="851" w:hanging="851"/>
    </w:pPr>
  </w:style>
  <w:style w:type="paragraph" w:customStyle="1" w:styleId="TAL">
    <w:name w:val="TAL"/>
    <w:basedOn w:val="Normal"/>
    <w:link w:val="TALChar"/>
    <w:rsid w:val="002E3A4E"/>
    <w:pPr>
      <w:keepNext/>
      <w:keepLines/>
      <w:spacing w:after="0"/>
    </w:pPr>
    <w:rPr>
      <w:rFonts w:ascii="Arial" w:hAnsi="Arial"/>
      <w:sz w:val="18"/>
    </w:rPr>
  </w:style>
  <w:style w:type="paragraph" w:customStyle="1" w:styleId="ZA">
    <w:name w:val="ZA"/>
    <w:rsid w:val="002E3A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E3A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E3A4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E3A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E3A4E"/>
    <w:pPr>
      <w:framePr w:wrap="notBeside" w:y="16161"/>
    </w:pPr>
  </w:style>
  <w:style w:type="character" w:customStyle="1" w:styleId="ZGSM">
    <w:name w:val="ZGSM"/>
    <w:rsid w:val="002E3A4E"/>
  </w:style>
  <w:style w:type="paragraph" w:styleId="List2">
    <w:name w:val="List 2"/>
    <w:basedOn w:val="List"/>
    <w:semiHidden/>
    <w:rsid w:val="002E3A4E"/>
    <w:pPr>
      <w:ind w:left="851"/>
    </w:pPr>
  </w:style>
  <w:style w:type="paragraph" w:customStyle="1" w:styleId="ZG">
    <w:name w:val="ZG"/>
    <w:rsid w:val="002E3A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E3A4E"/>
    <w:pPr>
      <w:ind w:left="1135"/>
    </w:pPr>
  </w:style>
  <w:style w:type="paragraph" w:styleId="List4">
    <w:name w:val="List 4"/>
    <w:basedOn w:val="List3"/>
    <w:semiHidden/>
    <w:rsid w:val="002E3A4E"/>
    <w:pPr>
      <w:ind w:left="1418"/>
    </w:pPr>
  </w:style>
  <w:style w:type="paragraph" w:styleId="List5">
    <w:name w:val="List 5"/>
    <w:basedOn w:val="List4"/>
    <w:semiHidden/>
    <w:rsid w:val="002E3A4E"/>
    <w:pPr>
      <w:ind w:left="1702"/>
    </w:pPr>
  </w:style>
  <w:style w:type="paragraph" w:customStyle="1" w:styleId="EditorsNote">
    <w:name w:val="Editor's Note"/>
    <w:basedOn w:val="NO"/>
    <w:rsid w:val="002E3A4E"/>
    <w:rPr>
      <w:color w:val="FF0000"/>
    </w:rPr>
  </w:style>
  <w:style w:type="paragraph" w:styleId="List">
    <w:name w:val="List"/>
    <w:basedOn w:val="Normal"/>
    <w:semiHidden/>
    <w:rsid w:val="002E3A4E"/>
    <w:pPr>
      <w:ind w:left="568" w:hanging="284"/>
    </w:pPr>
  </w:style>
  <w:style w:type="paragraph" w:styleId="ListBullet">
    <w:name w:val="List Bullet"/>
    <w:basedOn w:val="List"/>
    <w:semiHidden/>
    <w:rsid w:val="002E3A4E"/>
  </w:style>
  <w:style w:type="paragraph" w:styleId="ListBullet4">
    <w:name w:val="List Bullet 4"/>
    <w:basedOn w:val="ListBullet3"/>
    <w:semiHidden/>
    <w:rsid w:val="002E3A4E"/>
    <w:pPr>
      <w:ind w:left="1418"/>
    </w:pPr>
  </w:style>
  <w:style w:type="paragraph" w:styleId="ListBullet5">
    <w:name w:val="List Bullet 5"/>
    <w:basedOn w:val="ListBullet4"/>
    <w:semiHidden/>
    <w:rsid w:val="002E3A4E"/>
    <w:pPr>
      <w:ind w:left="1702"/>
    </w:pPr>
  </w:style>
  <w:style w:type="paragraph" w:customStyle="1" w:styleId="B1">
    <w:name w:val="B1"/>
    <w:basedOn w:val="List"/>
    <w:link w:val="B1Char"/>
    <w:rsid w:val="002E3A4E"/>
  </w:style>
  <w:style w:type="paragraph" w:customStyle="1" w:styleId="B2">
    <w:name w:val="B2"/>
    <w:basedOn w:val="List2"/>
    <w:rsid w:val="002E3A4E"/>
  </w:style>
  <w:style w:type="paragraph" w:customStyle="1" w:styleId="B3">
    <w:name w:val="B3"/>
    <w:basedOn w:val="List3"/>
    <w:rsid w:val="002E3A4E"/>
  </w:style>
  <w:style w:type="paragraph" w:customStyle="1" w:styleId="B4">
    <w:name w:val="B4"/>
    <w:basedOn w:val="List4"/>
    <w:rsid w:val="002E3A4E"/>
  </w:style>
  <w:style w:type="paragraph" w:customStyle="1" w:styleId="B5">
    <w:name w:val="B5"/>
    <w:basedOn w:val="List5"/>
    <w:rsid w:val="002E3A4E"/>
  </w:style>
  <w:style w:type="paragraph" w:styleId="Footer">
    <w:name w:val="footer"/>
    <w:basedOn w:val="Header"/>
    <w:rsid w:val="002E3A4E"/>
    <w:pPr>
      <w:jc w:val="center"/>
    </w:pPr>
    <w:rPr>
      <w:i/>
    </w:rPr>
  </w:style>
  <w:style w:type="paragraph" w:customStyle="1" w:styleId="ZTD">
    <w:name w:val="ZTD"/>
    <w:basedOn w:val="ZB"/>
    <w:rsid w:val="002E3A4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GB"/>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GB"/>
    </w:rPr>
  </w:style>
  <w:style w:type="character" w:customStyle="1" w:styleId="TAHCar">
    <w:name w:val="TAH Car"/>
    <w:link w:val="TAH"/>
    <w:qFormat/>
    <w:rsid w:val="004C010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GB" w:eastAsia="en-GB"/>
    </w:rPr>
  </w:style>
  <w:style w:type="paragraph" w:styleId="Caption">
    <w:name w:val="caption"/>
    <w:basedOn w:val="Normal"/>
    <w:next w:val="Normal"/>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GB"/>
    </w:rPr>
  </w:style>
  <w:style w:type="character" w:customStyle="1" w:styleId="TANChar">
    <w:name w:val="TAN Char"/>
    <w:link w:val="TAN"/>
    <w:qFormat/>
    <w:rsid w:val="00C24C90"/>
    <w:rPr>
      <w:rFonts w:ascii="Arial" w:hAnsi="Arial"/>
      <w:sz w:val="18"/>
      <w:lang w:val="en-GB" w:eastAsia="en-GB"/>
    </w:rPr>
  </w:style>
  <w:style w:type="paragraph" w:customStyle="1" w:styleId="a">
    <w:name w:val="样式 页眉"/>
    <w:basedOn w:val="Header"/>
    <w:link w:val="Char"/>
    <w:rsid w:val="009674D4"/>
    <w:rPr>
      <w:rFonts w:eastAsia="Arial"/>
      <w:bCs/>
      <w:sz w:val="22"/>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GB"/>
    </w:rPr>
  </w:style>
  <w:style w:type="character" w:customStyle="1" w:styleId="B1Char">
    <w:name w:val="B1 Char"/>
    <w:link w:val="B1"/>
    <w:qFormat/>
    <w:locked/>
    <w:rsid w:val="006750A5"/>
    <w:rPr>
      <w:rFonts w:ascii="Times New Roman" w:hAnsi="Times New Roman"/>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character" w:styleId="Hyperlink">
    <w:name w:val="Hyperlink"/>
    <w:semiHidden/>
    <w:unhideWhenUsed/>
    <w:rsid w:val="00A30F7E"/>
    <w:rPr>
      <w:color w:val="0000FF"/>
      <w:u w:val="single"/>
    </w:rPr>
  </w:style>
  <w:style w:type="character" w:styleId="FollowedHyperlink">
    <w:name w:val="FollowedHyperlink"/>
    <w:basedOn w:val="DefaultParagraphFont"/>
    <w:uiPriority w:val="99"/>
    <w:semiHidden/>
    <w:unhideWhenUsed/>
    <w:rsid w:val="00A30F7E"/>
    <w:rPr>
      <w:color w:val="954F72" w:themeColor="followedHyperlink"/>
      <w:u w:val="single"/>
    </w:rPr>
  </w:style>
  <w:style w:type="paragraph" w:styleId="BodyText">
    <w:name w:val="Body Text"/>
    <w:basedOn w:val="Normal"/>
    <w:link w:val="BodyTextChar"/>
    <w:semiHidden/>
    <w:unhideWhenUsed/>
    <w:rsid w:val="00A30F7E"/>
    <w:pPr>
      <w:overflowPunct/>
      <w:autoSpaceDE/>
      <w:autoSpaceDN/>
      <w:adjustRightInd/>
      <w:spacing w:after="120"/>
      <w:textAlignment w:val="auto"/>
    </w:pPr>
  </w:style>
  <w:style w:type="character" w:customStyle="1" w:styleId="BodyTextChar">
    <w:name w:val="Body Text Char"/>
    <w:basedOn w:val="DefaultParagraphFont"/>
    <w:link w:val="BodyText"/>
    <w:semiHidden/>
    <w:rsid w:val="00A30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58973325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13070127">
      <w:bodyDiv w:val="1"/>
      <w:marLeft w:val="0"/>
      <w:marRight w:val="0"/>
      <w:marTop w:val="0"/>
      <w:marBottom w:val="0"/>
      <w:divBdr>
        <w:top w:val="none" w:sz="0" w:space="0" w:color="auto"/>
        <w:left w:val="none" w:sz="0" w:space="0" w:color="auto"/>
        <w:bottom w:val="none" w:sz="0" w:space="0" w:color="auto"/>
        <w:right w:val="none" w:sz="0" w:space="0" w:color="auto"/>
      </w:divBdr>
    </w:div>
    <w:div w:id="1755124693">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 w:id="213498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R/conferences/wrc/2019/Documents/PFA-WRC19-E.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177B0-BB3F-4C0E-8AAE-0A4930E8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CR0125r1</cp:lastModifiedBy>
  <cp:revision>4</cp:revision>
  <cp:lastPrinted>1900-01-01T06:00:00Z</cp:lastPrinted>
  <dcterms:created xsi:type="dcterms:W3CDTF">2020-04-09T07:27:00Z</dcterms:created>
  <dcterms:modified xsi:type="dcterms:W3CDTF">2020-04-14T17:46:00Z</dcterms:modified>
</cp:coreProperties>
</file>